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3BF54" w14:textId="77777777" w:rsidR="00616459" w:rsidRDefault="46E02235" w:rsidP="46E02235">
      <w:pPr>
        <w:spacing w:after="0"/>
        <w:rPr>
          <w:b/>
          <w:bCs/>
          <w:sz w:val="32"/>
          <w:szCs w:val="32"/>
        </w:rPr>
      </w:pPr>
      <w:r w:rsidRPr="46E02235">
        <w:rPr>
          <w:b/>
          <w:bCs/>
          <w:sz w:val="32"/>
          <w:szCs w:val="32"/>
        </w:rPr>
        <w:t>In-field Pooling and Implications for Harvest</w:t>
      </w:r>
    </w:p>
    <w:p w14:paraId="0CC8D54E" w14:textId="44F87D16" w:rsidR="00616459" w:rsidRPr="00616459" w:rsidRDefault="000A3508" w:rsidP="00616459">
      <w:pPr>
        <w:spacing w:after="0"/>
        <w:rPr>
          <w:b/>
          <w:sz w:val="32"/>
          <w:szCs w:val="32"/>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D84F518" wp14:editId="07777777">
                <wp:simplePos x="0" y="0"/>
                <wp:positionH relativeFrom="column">
                  <wp:posOffset>236220</wp:posOffset>
                </wp:positionH>
                <wp:positionV relativeFrom="paragraph">
                  <wp:posOffset>2607310</wp:posOffset>
                </wp:positionV>
                <wp:extent cx="289560" cy="228600"/>
                <wp:effectExtent l="0" t="0" r="72390" b="57150"/>
                <wp:wrapNone/>
                <wp:docPr id="7" name="Straight Arrow Connector 7"/>
                <wp:cNvGraphicFramePr/>
                <a:graphic xmlns:a="http://schemas.openxmlformats.org/drawingml/2006/main">
                  <a:graphicData uri="http://schemas.microsoft.com/office/word/2010/wordprocessingShape">
                    <wps:wsp>
                      <wps:cNvCnPr/>
                      <wps:spPr>
                        <a:xfrm>
                          <a:off x="0" y="0"/>
                          <a:ext cx="28956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82EF5AC">
              <v:shapetype id="_x0000_t32" coordsize="21600,21600" o:oned="t" filled="f" o:spt="32" path="m,l21600,21600e" w14:anchorId="15C24FC5">
                <v:path fillok="f" arrowok="t" o:connecttype="none"/>
                <o:lock v:ext="edit" shapetype="t"/>
              </v:shapetype>
              <v:shape id="Straight Arrow Connector 7" style="position:absolute;margin-left:18.6pt;margin-top:205.3pt;width:22.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6p6wEAADcEAAAOAAAAZHJzL2Uyb0RvYy54bWysU8GO0zAQvSPxD5bvNGkluqVqukJdlguC&#10;ioUP8Dp2Y8n2WGPTtH/P2ElTFhDSrrg4GXvevHnP483tyVl2VBgN+IbPZzVnyktojT80/Pu3+zcr&#10;zmISvhUWvGr4WUV+u339atOHtVpAB7ZVyKiIj+s+NLxLKayrKspOORFnEJSnQw3oRKIQD1WLoqfq&#10;zlaLul5WPWAbEKSKkXbvhkO+LfW1VjJ90TqqxGzDqbdUVizrY16r7UasDyhCZ+TYhnhBF04YT6RT&#10;qTuRBPuB5o9SzkiECDrNJLgKtDZSFQ2kZl7/puahE0EVLWRODJNN8f+VlZ+Pe2SmbfgNZ144uqKH&#10;hMIcusTeI0LPduA92QjIbrJbfYhrAu38Hscohj1m6SeNLn9JFDsVh8+Tw+qUmKTNxerd2yXdg6Sj&#10;xWK1rMsNVFdwwJg+KnAs/zQ8jr1MTcyLy+L4KSaiJ+AFkJmtz2sEa9p7Y20J8iCpnUV2FDQC6TTP&#10;Igj3JCsJYz/4lqVzIAMSGuEPVo2ZuWqVZQ9Cy186WzUwflWa7CNpQ2dlcK98Qkrl04XTesrOME3d&#10;TcC6SPoncMzPUFWG+jngCVGYwacJ7IwH/Bv71SY95F8cGHRnCx6hPZcRKNbQdBZXx5eUx//XuMCv&#10;7337EwAA//8DAFBLAwQUAAYACAAAACEAc2bh7d8AAAAJAQAADwAAAGRycy9kb3ducmV2LnhtbEyP&#10;QU7DMBBF90jcwRokdtROqEIJcaoKqVIFQiqFAzixSSLscbDdNrk9w4ouZ+bpz/vVenKWnUyIg0cJ&#10;2UIAM9h6PWAn4fNje7cCFpNCraxHI2E2Edb19VWlSu3P+G5Oh9QxCsFYKgl9SmPJeWx741Rc+NEg&#10;3b58cCrRGDqugzpTuLM8F6LgTg1IH3o1mufetN+Ho5PwuBu7xu5fX7IfEba7YT+/TZtZytubafME&#10;LJkp/cPwp0/qUJNT44+oI7MS7h9yIiUsM1EAI2CVU5WGFsuiAF5X/LJB/QsAAP//AwBQSwECLQAU&#10;AAYACAAAACEAtoM4kv4AAADhAQAAEwAAAAAAAAAAAAAAAAAAAAAAW0NvbnRlbnRfVHlwZXNdLnht&#10;bFBLAQItABQABgAIAAAAIQA4/SH/1gAAAJQBAAALAAAAAAAAAAAAAAAAAC8BAABfcmVscy8ucmVs&#10;c1BLAQItABQABgAIAAAAIQArki6p6wEAADcEAAAOAAAAAAAAAAAAAAAAAC4CAABkcnMvZTJvRG9j&#10;LnhtbFBLAQItABQABgAIAAAAIQBzZuHt3wAAAAkBAAAPAAAAAAAAAAAAAAAAAEUEAABkcnMvZG93&#10;bnJldi54bWxQSwUGAAAAAAQABADzAAAAUQUAAAAA&#10;">
                <v:stroke joinstyle="miter" endarrow="block"/>
              </v:shape>
            </w:pict>
          </mc:Fallback>
        </mc:AlternateContent>
      </w:r>
      <w:r w:rsidRPr="00616459">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086F706C" wp14:editId="07777777">
                <wp:simplePos x="0" y="0"/>
                <wp:positionH relativeFrom="margin">
                  <wp:align>left</wp:align>
                </wp:positionH>
                <wp:positionV relativeFrom="paragraph">
                  <wp:posOffset>2299970</wp:posOffset>
                </wp:positionV>
                <wp:extent cx="297180" cy="283845"/>
                <wp:effectExtent l="0" t="0" r="26670"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3845"/>
                        </a:xfrm>
                        <a:prstGeom prst="rect">
                          <a:avLst/>
                        </a:prstGeom>
                        <a:solidFill>
                          <a:srgbClr val="FFFFFF"/>
                        </a:solidFill>
                        <a:ln w="9525">
                          <a:solidFill>
                            <a:srgbClr val="000000"/>
                          </a:solidFill>
                          <a:miter lim="800000"/>
                          <a:headEnd/>
                          <a:tailEnd/>
                        </a:ln>
                      </wps:spPr>
                      <wps:txbx>
                        <w:txbxContent>
                          <w:p w14:paraId="18F999B5" w14:textId="77777777" w:rsidR="00924CA7" w:rsidRDefault="00924CA7" w:rsidP="00924CA7">
                            <w:pPr>
                              <w:rPr>
                                <w:sz w:val="28"/>
                                <w:szCs w:val="28"/>
                              </w:rPr>
                            </w:pPr>
                            <w:r>
                              <w:rPr>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F706C" id="_x0000_t202" coordsize="21600,21600" o:spt="202" path="m,l,21600r21600,l21600,xe">
                <v:stroke joinstyle="miter"/>
                <v:path gradientshapeok="t" o:connecttype="rect"/>
              </v:shapetype>
              <v:shape id="Text Box 4" o:spid="_x0000_s1026" type="#_x0000_t202" style="position:absolute;margin-left:0;margin-top:181.1pt;width:23.4pt;height:22.3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ecDwIAAB4EAAAOAAAAZHJzL2Uyb0RvYy54bWysU9tu2zAMfR+wfxD0vjjxkjUx4hRdugwD&#10;ugvQ7QNoWY6FyaImKbG7rx+luGl2exmmB4EUqUPykFxfD51mR+m8QlPy2WTKmTQCa2X2Jf/yefdi&#10;yZkPYGrQaGTJH6Tn15vnz9a9LWSOLepaOkYgxhe9LXkbgi2yzItWduAnaKUhY4Oug0Cq22e1g57Q&#10;O53l0+mrrEdXW4dCek+vtycj3yT8ppEifGwaLwPTJafcQrpduqt4Z5s1FHsHtlViTAP+IYsOlKGg&#10;Z6hbCMAOTv0G1Snh0GMTJgK7DJtGCZlqoGpm01+quW/BylQLkePtmSb//2DFh+O9/eRYGF7jQA1M&#10;RXh7h+KrZwa3LZi9vHEO+1ZCTYFnkbKst74Yv0aqfeEjSNW/x5qaDIeACWhoXBdZoToZoVMDHs6k&#10;yyEwQY/56mq2JIsgU758uZwvUgQoHj9b58NbiR2LQskd9TSBw/HOh5gMFI8uMZZHreqd0jopbl9t&#10;tWNHoP7v0hnRf3LThvUlXy3yxan+v0JM0/kTRKcCDbJWXcmXZycoImtvTJ3GLIDSJ5lS1makMTJ3&#10;4jAM1UCOkc4K6wci1OFpYGnBSGjRfeesp2Etuf92ACc50+8MNWU1m8/jdCdlvrjKSXGXlurSAkYQ&#10;VMkDZydxG9JGRMIM3lDzGpWIfcpkzJWGMPE9Lkyc8ks9eT2t9eYHAAAA//8DAFBLAwQUAAYACAAA&#10;ACEAIOgVdd4AAAAHAQAADwAAAGRycy9kb3ducmV2LnhtbEyPwU7DMBBE70j8g7VIXBB1SCvThjgV&#10;QgLBDUpVrm68TSLsdYjdNPw9ywlOo9WsZt6U68k7MeIQu0AabmYZCKQ62I4aDdv3x+sliJgMWeMC&#10;oYZvjLCuzs9KU9hwojccN6kRHEKxMBralPpCyli36E2chR6JvUMYvEl8Do20gzlxuHcyzzIlvemI&#10;G1rT40OL9efm6DUsF8/jR3yZv+5qdXCrdHU7Pn0NWl9eTPd3IBJO6e8ZfvEZHSpm2ocj2SicBh6S&#10;NMxVnoNge6F4yJ41UyuQVSn/81c/AAAA//8DAFBLAQItABQABgAIAAAAIQC2gziS/gAAAOEBAAAT&#10;AAAAAAAAAAAAAAAAAAAAAABbQ29udGVudF9UeXBlc10ueG1sUEsBAi0AFAAGAAgAAAAhADj9If/W&#10;AAAAlAEAAAsAAAAAAAAAAAAAAAAALwEAAF9yZWxzLy5yZWxzUEsBAi0AFAAGAAgAAAAhAPzst5wP&#10;AgAAHgQAAA4AAAAAAAAAAAAAAAAALgIAAGRycy9lMm9Eb2MueG1sUEsBAi0AFAAGAAgAAAAhACDo&#10;FXXeAAAABwEAAA8AAAAAAAAAAAAAAAAAaQQAAGRycy9kb3ducmV2LnhtbFBLBQYAAAAABAAEAPMA&#10;AAB0BQAAAAA=&#10;">
                <v:textbox>
                  <w:txbxContent>
                    <w:p w14:paraId="18F999B5" w14:textId="77777777" w:rsidR="00924CA7" w:rsidRDefault="00924CA7" w:rsidP="00924CA7">
                      <w:pPr>
                        <w:rPr>
                          <w:sz w:val="28"/>
                          <w:szCs w:val="28"/>
                        </w:rPr>
                      </w:pPr>
                      <w:r>
                        <w:rPr>
                          <w:sz w:val="28"/>
                          <w:szCs w:val="28"/>
                        </w:rPr>
                        <w:t>2</w:t>
                      </w:r>
                    </w:p>
                  </w:txbxContent>
                </v:textbox>
                <w10:wrap anchorx="margin"/>
              </v:shape>
            </w:pict>
          </mc:Fallback>
        </mc:AlternateContent>
      </w:r>
      <w:r w:rsidR="00616459" w:rsidRPr="00616459">
        <w:rPr>
          <w:rFonts w:ascii="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1E3CE38D" wp14:editId="07777777">
                <wp:simplePos x="0" y="0"/>
                <wp:positionH relativeFrom="rightMargin">
                  <wp:posOffset>-5760720</wp:posOffset>
                </wp:positionH>
                <wp:positionV relativeFrom="paragraph">
                  <wp:posOffset>438785</wp:posOffset>
                </wp:positionV>
                <wp:extent cx="297180" cy="283845"/>
                <wp:effectExtent l="0" t="0" r="2667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3845"/>
                        </a:xfrm>
                        <a:prstGeom prst="rect">
                          <a:avLst/>
                        </a:prstGeom>
                        <a:solidFill>
                          <a:srgbClr val="FFFFFF"/>
                        </a:solidFill>
                        <a:ln w="9525">
                          <a:solidFill>
                            <a:srgbClr val="000000"/>
                          </a:solidFill>
                          <a:miter lim="800000"/>
                          <a:headEnd/>
                          <a:tailEnd/>
                        </a:ln>
                      </wps:spPr>
                      <wps:txbx>
                        <w:txbxContent>
                          <w:p w14:paraId="649841BE" w14:textId="77777777" w:rsidR="00924CA7" w:rsidRDefault="00924CA7" w:rsidP="00924CA7">
                            <w:pPr>
                              <w:rPr>
                                <w:sz w:val="28"/>
                                <w:szCs w:val="28"/>
                              </w:rPr>
                            </w:pPr>
                            <w:r>
                              <w:rPr>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CE38D" id="Text Box 3" o:spid="_x0000_s1027" type="#_x0000_t202" style="position:absolute;margin-left:-453.6pt;margin-top:34.55pt;width:23.4pt;height:22.35pt;z-index:2516643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KEQIAACUEAAAOAAAAZHJzL2Uyb0RvYy54bWysU9tu2zAMfR+wfxD0vjjxkjUx4hRdugwD&#10;ugvQ7QNoWY6FyaImKbG7rx+luGl2exmmB4EUqUPykFxfD51mR+m8QlPy2WTKmTQCa2X2Jf/yefdi&#10;yZkPYGrQaGTJH6Tn15vnz9a9LWSOLepaOkYgxhe9LXkbgi2yzItWduAnaKUhY4Oug0Cq22e1g57Q&#10;O53l0+mrrEdXW4dCek+vtycj3yT8ppEifGwaLwPTJafcQrpduqt4Z5s1FHsHtlViTAP+IYsOlKGg&#10;Z6hbCMAOTv0G1Snh0GMTJgK7DJtGCZlqoGpm01+quW/BylQLkePtmSb//2DFh+O9/eRYGF7jQA1M&#10;RXh7h+KrZwa3LZi9vHEO+1ZCTYFnkbKst74Yv0aqfeEjSNW/x5qaDIeACWhoXBdZoToZoVMDHs6k&#10;yyEwQY/56mq2JIsgU758uZwvUgQoHj9b58NbiR2LQskd9TSBw/HOh5gMFI8uMZZHreqd0jopbl9t&#10;tWNHoP7v0hnRf3LThvUlXy3yxan+v0JM0/kTRKcCDbJWXcmXZycoImtvTJ3GLIDSJ5lS1makMTJ3&#10;4jAM1cBUPXIcWa2wfiBeHZ7mlvaMhBbdd856mtmS+28HcJIz/c5Qb1az+TwOeVLmi6ucFHdpqS4t&#10;YARBlTxwdhK3IS1G5M3gDfWwUYnfp0zGlGkWE+3j3sRhv9ST19N2b34AAAD//wMAUEsDBBQABgAI&#10;AAAAIQA0q6Eo4gAAAAwBAAAPAAAAZHJzL2Rvd25yZXYueG1sTI/BTsMwEETvSPyDtUhcUGqnrdIk&#10;xKkQEghupSC4uvE2ibDXIXbT8PeYExxX8zTzttrO1rAJR987kpAuBDCkxumeWglvrw9JDswHRVoZ&#10;RyjhGz1s68uLSpXanekFp31oWSwhXyoJXQhDyblvOrTKL9yAFLOjG60K8Rxbrkd1juXW8KUQGbeq&#10;p7jQqQHvO2w+9ycrIV8/TR/+ebV7b7KjKcLNZnr8GqW8vprvboEFnMMfDL/6UR3q6HRwJ9KeGQlJ&#10;ITbLyErIihRYJJI8E2tgh8imqxx4XfH/T9Q/AAAA//8DAFBLAQItABQABgAIAAAAIQC2gziS/gAA&#10;AOEBAAATAAAAAAAAAAAAAAAAAAAAAABbQ29udGVudF9UeXBlc10ueG1sUEsBAi0AFAAGAAgAAAAh&#10;ADj9If/WAAAAlAEAAAsAAAAAAAAAAAAAAAAALwEAAF9yZWxzLy5yZWxzUEsBAi0AFAAGAAgAAAAh&#10;AGCTP8oRAgAAJQQAAA4AAAAAAAAAAAAAAAAALgIAAGRycy9lMm9Eb2MueG1sUEsBAi0AFAAGAAgA&#10;AAAhADSroSjiAAAADAEAAA8AAAAAAAAAAAAAAAAAawQAAGRycy9kb3ducmV2LnhtbFBLBQYAAAAA&#10;BAAEAPMAAAB6BQAAAAA=&#10;">
                <v:textbox>
                  <w:txbxContent>
                    <w:p w14:paraId="649841BE" w14:textId="77777777" w:rsidR="00924CA7" w:rsidRDefault="00924CA7" w:rsidP="00924CA7">
                      <w:pPr>
                        <w:rPr>
                          <w:sz w:val="28"/>
                          <w:szCs w:val="28"/>
                        </w:rPr>
                      </w:pPr>
                      <w:r>
                        <w:rPr>
                          <w:sz w:val="28"/>
                          <w:szCs w:val="28"/>
                        </w:rPr>
                        <w:t>1</w:t>
                      </w:r>
                    </w:p>
                  </w:txbxContent>
                </v:textbox>
                <w10:wrap anchorx="margin"/>
              </v:shape>
            </w:pict>
          </mc:Fallback>
        </mc:AlternateContent>
      </w:r>
      <w:r w:rsidR="00616459">
        <w:rPr>
          <w:b/>
          <w:sz w:val="32"/>
          <w:szCs w:val="32"/>
        </w:rPr>
        <w:t>Illustration Guide and Teaching Notes</w:t>
      </w:r>
      <w:r w:rsidR="00616459" w:rsidRPr="00616459">
        <w:rPr>
          <w:noProof/>
          <w:sz w:val="24"/>
          <w:szCs w:val="24"/>
        </w:rPr>
        <w:drawing>
          <wp:inline distT="0" distB="0" distL="0" distR="0" wp14:anchorId="36526EE0" wp14:editId="1374608B">
            <wp:extent cx="5943600" cy="4592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592320"/>
                    </a:xfrm>
                    <a:prstGeom prst="rect">
                      <a:avLst/>
                    </a:prstGeom>
                    <a:noFill/>
                    <a:ln>
                      <a:noFill/>
                    </a:ln>
                  </pic:spPr>
                </pic:pic>
              </a:graphicData>
            </a:graphic>
          </wp:inline>
        </w:drawing>
      </w:r>
    </w:p>
    <w:p w14:paraId="7C4C2D6A" w14:textId="77777777" w:rsidR="002565AC" w:rsidRPr="00616459" w:rsidRDefault="00751C67" w:rsidP="006926AD">
      <w:pPr>
        <w:spacing w:after="0"/>
        <w:rPr>
          <w:sz w:val="24"/>
          <w:szCs w:val="24"/>
        </w:rPr>
      </w:pPr>
      <w:r w:rsidRPr="00616459">
        <w:rPr>
          <w:b/>
          <w:sz w:val="24"/>
          <w:szCs w:val="24"/>
        </w:rPr>
        <w:t>Key Teaching Points</w:t>
      </w:r>
      <w:r w:rsidR="002565AC" w:rsidRPr="00616459">
        <w:rPr>
          <w:sz w:val="24"/>
          <w:szCs w:val="24"/>
        </w:rPr>
        <w:t xml:space="preserve"> </w:t>
      </w:r>
    </w:p>
    <w:p w14:paraId="5DAB6C7B" w14:textId="1C198204" w:rsidR="009B2344" w:rsidRPr="00F21DB9" w:rsidRDefault="4F08A286" w:rsidP="61CF61C6">
      <w:pPr>
        <w:tabs>
          <w:tab w:val="left" w:pos="948"/>
        </w:tabs>
        <w:spacing w:after="0"/>
        <w:rPr>
          <w:sz w:val="24"/>
          <w:szCs w:val="24"/>
        </w:rPr>
      </w:pPr>
      <w:r w:rsidRPr="4F08A286">
        <w:rPr>
          <w:sz w:val="24"/>
          <w:szCs w:val="24"/>
        </w:rPr>
        <w:t xml:space="preserve">This illustration is intended to define in-field pooling, highlight how pooling differs from flooding, and the implications pooling has on harvest. In-field pooling can occur during heavy rain events or when in-field irrigation equipment fails or is mismanaged. In this illustration, a break in the water distribution pipe allowed irrigation water to spray onto the harvestable portions of the spinach and pool in the surrounding rows. In-field pooling is different from unintentional flooding, since the water generally does not run off into other fields or contain other contaminating agents such as unknown chemical, physical, and biological hazards. There is an accompanying illustration entitled “Flooding and Implications for Harvest”, which provides more detail on flooding and produce adulteration. The numbers below align with key teaching points in the above illustration. </w:t>
      </w:r>
    </w:p>
    <w:p w14:paraId="59698631" w14:textId="6D1E7EC1" w:rsidR="00B92219" w:rsidRPr="00EE742C" w:rsidRDefault="57DD0F71" w:rsidP="00031ADA">
      <w:pPr>
        <w:pStyle w:val="ListParagraph"/>
        <w:numPr>
          <w:ilvl w:val="1"/>
          <w:numId w:val="7"/>
        </w:numPr>
        <w:tabs>
          <w:tab w:val="left" w:pos="948"/>
        </w:tabs>
        <w:ind w:left="720"/>
        <w:rPr>
          <w:sz w:val="24"/>
          <w:szCs w:val="24"/>
        </w:rPr>
      </w:pPr>
      <w:r w:rsidRPr="00EE742C">
        <w:rPr>
          <w:sz w:val="24"/>
          <w:szCs w:val="24"/>
        </w:rPr>
        <w:t xml:space="preserve">In this illustration, the pooled water originates from a broken irrigation line, not an overflowing stream, river, or lake, therefore the produce contacted by this water is not automatically considered adulterated. As indicated in the thought bubbles, the grower </w:t>
      </w:r>
      <w:r w:rsidRPr="00EE742C">
        <w:rPr>
          <w:sz w:val="24"/>
          <w:szCs w:val="24"/>
        </w:rPr>
        <w:lastRenderedPageBreak/>
        <w:t xml:space="preserve">has several different things to consider before they decide how the crop can be used under this scenario. If the grower knows something about the quality of the water, is confident it is safe and of adequate sanitary quality, and the water is not likely to have resulted in crop contamination, the crop could be harvested and sold as fresh produce. If the grower is concerned with the quality of the water or is unsure, the field could be tilled </w:t>
      </w:r>
      <w:proofErr w:type="gramStart"/>
      <w:r w:rsidRPr="00EE742C">
        <w:rPr>
          <w:sz w:val="24"/>
          <w:szCs w:val="24"/>
        </w:rPr>
        <w:t>under</w:t>
      </w:r>
      <w:proofErr w:type="gramEnd"/>
      <w:r w:rsidRPr="00EE742C">
        <w:rPr>
          <w:sz w:val="24"/>
          <w:szCs w:val="24"/>
        </w:rPr>
        <w:t xml:space="preserve"> or the produce can be sold to a processor where a “kill-step” will be implemented. The grower will need to assess risks to make this determination. </w:t>
      </w:r>
    </w:p>
    <w:p w14:paraId="7663DC5F" w14:textId="558138B6" w:rsidR="00B92219" w:rsidRPr="00B92219" w:rsidRDefault="57DD0F71" w:rsidP="57DD0F71">
      <w:pPr>
        <w:pStyle w:val="ListParagraph"/>
        <w:numPr>
          <w:ilvl w:val="1"/>
          <w:numId w:val="7"/>
        </w:numPr>
        <w:tabs>
          <w:tab w:val="left" w:pos="948"/>
        </w:tabs>
        <w:ind w:left="720"/>
        <w:rPr>
          <w:sz w:val="24"/>
          <w:szCs w:val="24"/>
        </w:rPr>
      </w:pPr>
      <w:r w:rsidRPr="57DD0F71">
        <w:rPr>
          <w:sz w:val="24"/>
          <w:szCs w:val="24"/>
        </w:rPr>
        <w:t xml:space="preserve">The FSMA Produce Safety Rule (PSR) requires growers to inspect the agricultural water systems that are under their control, including water sources, water distribution systems, facilities, and equipment. This should be completed at the beginning of a growing season or at least once annually. Regular inspections will reduce the potential of equipment failure throughout the growing season. Refer to FSMA PSR § 112.42 and comments 183 and 184 of the Preamble for further insights. In addition, as described in FSMA PSR § 112.42(d) and Preamble comment 190, the grower must implement measures to reduce the potential of the pooling waters to reach the harvestable portions of the crop, such as staking the crop or using an alternative irrigation method. </w:t>
      </w:r>
    </w:p>
    <w:p w14:paraId="5D1839FA" w14:textId="20A45154" w:rsidR="00751C67" w:rsidRPr="00B92219" w:rsidRDefault="00751C67" w:rsidP="00B92219">
      <w:pPr>
        <w:tabs>
          <w:tab w:val="left" w:pos="948"/>
        </w:tabs>
        <w:spacing w:after="0"/>
        <w:rPr>
          <w:b/>
          <w:sz w:val="24"/>
          <w:szCs w:val="24"/>
        </w:rPr>
      </w:pPr>
      <w:r w:rsidRPr="00B92219">
        <w:rPr>
          <w:b/>
          <w:sz w:val="24"/>
          <w:szCs w:val="24"/>
        </w:rPr>
        <w:t xml:space="preserve">Relevant FSMA </w:t>
      </w:r>
      <w:r w:rsidR="00E060F0">
        <w:rPr>
          <w:b/>
          <w:sz w:val="24"/>
          <w:szCs w:val="24"/>
        </w:rPr>
        <w:t>PSR</w:t>
      </w:r>
      <w:r w:rsidRPr="00B92219">
        <w:rPr>
          <w:b/>
          <w:sz w:val="24"/>
          <w:szCs w:val="24"/>
        </w:rPr>
        <w:t xml:space="preserve"> Provisions</w:t>
      </w:r>
    </w:p>
    <w:p w14:paraId="0CD7A279" w14:textId="77777777" w:rsidR="000F6D1B" w:rsidRPr="000F6D1B" w:rsidRDefault="000F6D1B" w:rsidP="00B92219">
      <w:pPr>
        <w:pStyle w:val="ListParagraph"/>
        <w:numPr>
          <w:ilvl w:val="0"/>
          <w:numId w:val="1"/>
        </w:numPr>
        <w:spacing w:after="0"/>
        <w:rPr>
          <w:sz w:val="24"/>
          <w:szCs w:val="24"/>
        </w:rPr>
      </w:pPr>
      <w:r w:rsidRPr="00616459">
        <w:rPr>
          <w:rFonts w:cstheme="minorHAnsi"/>
          <w:sz w:val="24"/>
          <w:szCs w:val="24"/>
        </w:rPr>
        <w:t>§</w:t>
      </w:r>
      <w:r>
        <w:rPr>
          <w:rFonts w:cstheme="minorHAnsi"/>
          <w:sz w:val="24"/>
          <w:szCs w:val="24"/>
        </w:rPr>
        <w:t xml:space="preserve"> </w:t>
      </w:r>
      <w:r w:rsidRPr="00616459">
        <w:rPr>
          <w:sz w:val="24"/>
          <w:szCs w:val="24"/>
        </w:rPr>
        <w:t>112.42</w:t>
      </w:r>
    </w:p>
    <w:p w14:paraId="727EC8C3" w14:textId="77777777" w:rsidR="006926AD" w:rsidRDefault="006926AD" w:rsidP="00B92219">
      <w:pPr>
        <w:spacing w:after="0"/>
        <w:rPr>
          <w:b/>
          <w:sz w:val="24"/>
          <w:szCs w:val="24"/>
        </w:rPr>
      </w:pPr>
    </w:p>
    <w:p w14:paraId="69F9303C" w14:textId="77777777" w:rsidR="00337610" w:rsidRDefault="00337610" w:rsidP="00337610">
      <w:pPr>
        <w:spacing w:after="0"/>
        <w:rPr>
          <w:b/>
          <w:bCs/>
          <w:sz w:val="24"/>
          <w:szCs w:val="24"/>
        </w:rPr>
      </w:pPr>
      <w:bookmarkStart w:id="0" w:name="_Hlk148454446"/>
      <w:r>
        <w:rPr>
          <w:b/>
          <w:bCs/>
          <w:sz w:val="24"/>
          <w:szCs w:val="24"/>
        </w:rPr>
        <w:t>Relevant Federal Food, Drug, and Cosmetic Act (FD&amp;C) Provisions</w:t>
      </w:r>
    </w:p>
    <w:p w14:paraId="17BC4AB6" w14:textId="77777777" w:rsidR="00337610" w:rsidRDefault="00337610" w:rsidP="00337610">
      <w:pPr>
        <w:pStyle w:val="ListParagraph"/>
        <w:numPr>
          <w:ilvl w:val="0"/>
          <w:numId w:val="8"/>
        </w:numPr>
        <w:spacing w:after="0" w:line="256" w:lineRule="auto"/>
        <w:rPr>
          <w:sz w:val="24"/>
          <w:szCs w:val="24"/>
        </w:rPr>
      </w:pPr>
      <w:r>
        <w:rPr>
          <w:sz w:val="24"/>
          <w:szCs w:val="24"/>
        </w:rPr>
        <w:t xml:space="preserve">21 U.S. Code, </w:t>
      </w:r>
      <w:hyperlink r:id="rId8" w:history="1">
        <w:r>
          <w:rPr>
            <w:rStyle w:val="Hyperlink"/>
            <w:sz w:val="24"/>
            <w:szCs w:val="24"/>
          </w:rPr>
          <w:t>FD&amp;C Chapter 9, § 321(f)</w:t>
        </w:r>
      </w:hyperlink>
      <w:r>
        <w:rPr>
          <w:sz w:val="24"/>
          <w:szCs w:val="24"/>
        </w:rPr>
        <w:t xml:space="preserve"> (establishes the definition of food)</w:t>
      </w:r>
    </w:p>
    <w:p w14:paraId="2D8AE496" w14:textId="14BC516A" w:rsidR="00337610" w:rsidRDefault="27E8671C" w:rsidP="00337610">
      <w:pPr>
        <w:pStyle w:val="ListParagraph"/>
        <w:numPr>
          <w:ilvl w:val="0"/>
          <w:numId w:val="8"/>
        </w:numPr>
        <w:spacing w:after="0" w:line="256" w:lineRule="auto"/>
        <w:rPr>
          <w:sz w:val="24"/>
          <w:szCs w:val="24"/>
        </w:rPr>
      </w:pPr>
      <w:r w:rsidRPr="27E8671C">
        <w:rPr>
          <w:sz w:val="24"/>
          <w:szCs w:val="24"/>
        </w:rPr>
        <w:t xml:space="preserve">21 U.S. Code, </w:t>
      </w:r>
      <w:hyperlink r:id="rId9">
        <w:r w:rsidRPr="27E8671C">
          <w:rPr>
            <w:rStyle w:val="Hyperlink"/>
            <w:sz w:val="24"/>
            <w:szCs w:val="24"/>
          </w:rPr>
          <w:t>FD&amp;C Chapter 9, § 331</w:t>
        </w:r>
      </w:hyperlink>
      <w:r w:rsidRPr="27E8671C">
        <w:rPr>
          <w:sz w:val="24"/>
          <w:szCs w:val="24"/>
        </w:rPr>
        <w:t xml:space="preserve"> (establishes prohibited acts, including </w:t>
      </w:r>
      <w:r w:rsidR="00337610" w:rsidRPr="27E8671C">
        <w:rPr>
          <w:sz w:val="24"/>
          <w:szCs w:val="24"/>
        </w:rPr>
        <w:t xml:space="preserve">the </w:t>
      </w:r>
      <w:r w:rsidRPr="27E8671C">
        <w:rPr>
          <w:sz w:val="24"/>
          <w:szCs w:val="24"/>
        </w:rPr>
        <w:t>adulterat</w:t>
      </w:r>
      <w:r w:rsidR="00337610" w:rsidRPr="27E8671C">
        <w:rPr>
          <w:sz w:val="24"/>
          <w:szCs w:val="24"/>
        </w:rPr>
        <w:t>ion of any</w:t>
      </w:r>
      <w:r w:rsidRPr="27E8671C">
        <w:rPr>
          <w:sz w:val="24"/>
          <w:szCs w:val="24"/>
        </w:rPr>
        <w:t xml:space="preserve"> food</w:t>
      </w:r>
      <w:r w:rsidR="00337610" w:rsidRPr="27E8671C">
        <w:rPr>
          <w:sz w:val="24"/>
          <w:szCs w:val="24"/>
        </w:rPr>
        <w:t xml:space="preserve"> in interstate commerce</w:t>
      </w:r>
      <w:r w:rsidRPr="27E8671C">
        <w:rPr>
          <w:sz w:val="24"/>
          <w:szCs w:val="24"/>
        </w:rPr>
        <w:t xml:space="preserve">). Note: 21 USC § 331 is the same as Section 402 in the Code of Federal Regulations. </w:t>
      </w:r>
    </w:p>
    <w:p w14:paraId="4470185F" w14:textId="77777777" w:rsidR="00337610" w:rsidRDefault="00337610" w:rsidP="00337610">
      <w:pPr>
        <w:pStyle w:val="ListParagraph"/>
        <w:numPr>
          <w:ilvl w:val="0"/>
          <w:numId w:val="8"/>
        </w:numPr>
        <w:spacing w:after="0" w:line="256" w:lineRule="auto"/>
        <w:rPr>
          <w:sz w:val="24"/>
          <w:szCs w:val="24"/>
        </w:rPr>
      </w:pPr>
      <w:r>
        <w:rPr>
          <w:sz w:val="24"/>
          <w:szCs w:val="24"/>
        </w:rPr>
        <w:t xml:space="preserve">21 U.S. Code, </w:t>
      </w:r>
      <w:hyperlink r:id="rId10" w:history="1">
        <w:r>
          <w:rPr>
            <w:rStyle w:val="Hyperlink"/>
            <w:sz w:val="24"/>
            <w:szCs w:val="24"/>
          </w:rPr>
          <w:t>FD&amp;C (Chapter 9), § 342</w:t>
        </w:r>
      </w:hyperlink>
      <w:r>
        <w:rPr>
          <w:sz w:val="24"/>
          <w:szCs w:val="24"/>
        </w:rPr>
        <w:t xml:space="preserve"> (establishes the definition of adulteration)</w:t>
      </w:r>
      <w:bookmarkEnd w:id="0"/>
    </w:p>
    <w:p w14:paraId="2A401E4E" w14:textId="77777777" w:rsidR="00337610" w:rsidRDefault="00337610" w:rsidP="00B92219">
      <w:pPr>
        <w:spacing w:after="0"/>
        <w:rPr>
          <w:b/>
          <w:sz w:val="24"/>
          <w:szCs w:val="24"/>
        </w:rPr>
      </w:pPr>
    </w:p>
    <w:p w14:paraId="191F26A4" w14:textId="77777777" w:rsidR="00E060F0" w:rsidRDefault="00751C67" w:rsidP="00E060F0">
      <w:pPr>
        <w:spacing w:after="0"/>
        <w:rPr>
          <w:b/>
          <w:sz w:val="24"/>
          <w:szCs w:val="24"/>
        </w:rPr>
      </w:pPr>
      <w:r w:rsidRPr="00E060F0">
        <w:rPr>
          <w:b/>
          <w:sz w:val="24"/>
          <w:szCs w:val="24"/>
        </w:rPr>
        <w:t xml:space="preserve">Suggested for Use </w:t>
      </w:r>
      <w:r w:rsidR="00E060F0" w:rsidRPr="00E060F0">
        <w:rPr>
          <w:b/>
          <w:sz w:val="24"/>
          <w:szCs w:val="24"/>
        </w:rPr>
        <w:t xml:space="preserve">in </w:t>
      </w:r>
      <w:r w:rsidRPr="00E060F0">
        <w:rPr>
          <w:b/>
          <w:sz w:val="24"/>
          <w:szCs w:val="24"/>
        </w:rPr>
        <w:t>PSA Grower Training Version 1.2</w:t>
      </w:r>
    </w:p>
    <w:p w14:paraId="6A05A809" w14:textId="047BB6C4" w:rsidR="00751C67" w:rsidRPr="00E060F0" w:rsidRDefault="00751C67" w:rsidP="00E060F0">
      <w:pPr>
        <w:pStyle w:val="ListParagraph"/>
        <w:numPr>
          <w:ilvl w:val="0"/>
          <w:numId w:val="9"/>
        </w:numPr>
        <w:spacing w:after="0"/>
        <w:rPr>
          <w:b/>
          <w:sz w:val="24"/>
          <w:szCs w:val="24"/>
        </w:rPr>
      </w:pPr>
      <w:r w:rsidRPr="00E060F0">
        <w:rPr>
          <w:sz w:val="24"/>
          <w:szCs w:val="24"/>
        </w:rPr>
        <w:t>Module</w:t>
      </w:r>
      <w:r w:rsidR="004E406A" w:rsidRPr="00E060F0">
        <w:rPr>
          <w:sz w:val="24"/>
          <w:szCs w:val="24"/>
        </w:rPr>
        <w:t xml:space="preserve"> 5-1 Agricultural Water Part 1: Production Water </w:t>
      </w:r>
      <w:r w:rsidR="00B002BD" w:rsidRPr="00E060F0">
        <w:rPr>
          <w:sz w:val="24"/>
          <w:szCs w:val="24"/>
        </w:rPr>
        <w:t xml:space="preserve">after </w:t>
      </w:r>
      <w:r w:rsidR="00B10268" w:rsidRPr="00E060F0">
        <w:rPr>
          <w:sz w:val="24"/>
          <w:szCs w:val="24"/>
        </w:rPr>
        <w:t>Slide 19 or</w:t>
      </w:r>
      <w:r w:rsidR="004E406A" w:rsidRPr="00E060F0">
        <w:rPr>
          <w:sz w:val="24"/>
          <w:szCs w:val="24"/>
        </w:rPr>
        <w:t xml:space="preserve"> 38</w:t>
      </w:r>
      <w:r w:rsidRPr="00E060F0">
        <w:rPr>
          <w:sz w:val="24"/>
          <w:szCs w:val="24"/>
        </w:rPr>
        <w:t xml:space="preserve"> </w:t>
      </w:r>
    </w:p>
    <w:p w14:paraId="5A39BBE3" w14:textId="77777777" w:rsidR="00751C67" w:rsidRPr="00616459" w:rsidRDefault="00751C67" w:rsidP="00751C67">
      <w:pPr>
        <w:spacing w:after="0" w:line="240" w:lineRule="auto"/>
        <w:rPr>
          <w:sz w:val="24"/>
          <w:szCs w:val="24"/>
        </w:rPr>
      </w:pPr>
    </w:p>
    <w:p w14:paraId="41C8F396" w14:textId="03E7808E" w:rsidR="005E5156" w:rsidRPr="003C3B0D" w:rsidRDefault="003C3B0D" w:rsidP="005E5156">
      <w:pPr>
        <w:autoSpaceDE w:val="0"/>
        <w:autoSpaceDN w:val="0"/>
        <w:adjustRightInd w:val="0"/>
        <w:spacing w:after="0" w:line="240" w:lineRule="auto"/>
        <w:rPr>
          <w:b/>
          <w:bCs/>
          <w:sz w:val="24"/>
          <w:szCs w:val="24"/>
        </w:rPr>
      </w:pPr>
      <w:r>
        <w:rPr>
          <w:b/>
          <w:bCs/>
          <w:sz w:val="24"/>
          <w:szCs w:val="24"/>
        </w:rPr>
        <w:t>Supporting Resources</w:t>
      </w:r>
    </w:p>
    <w:p w14:paraId="07FA1975" w14:textId="77777777" w:rsidR="00E060F0" w:rsidRPr="00E060F0" w:rsidRDefault="003C3B0D" w:rsidP="00E060F0">
      <w:pPr>
        <w:pStyle w:val="ListParagraph"/>
        <w:numPr>
          <w:ilvl w:val="0"/>
          <w:numId w:val="9"/>
        </w:numPr>
        <w:autoSpaceDE w:val="0"/>
        <w:autoSpaceDN w:val="0"/>
        <w:adjustRightInd w:val="0"/>
        <w:spacing w:after="0" w:line="240" w:lineRule="auto"/>
        <w:rPr>
          <w:sz w:val="24"/>
          <w:szCs w:val="24"/>
        </w:rPr>
      </w:pPr>
      <w:r w:rsidRPr="00E060F0">
        <w:rPr>
          <w:sz w:val="24"/>
          <w:szCs w:val="24"/>
        </w:rPr>
        <w:t xml:space="preserve">FDA </w:t>
      </w:r>
      <w:hyperlink r:id="rId11" w:history="1">
        <w:r w:rsidRPr="00E060F0">
          <w:rPr>
            <w:rStyle w:val="Hyperlink"/>
            <w:sz w:val="24"/>
            <w:szCs w:val="24"/>
          </w:rPr>
          <w:t>Guidance for Industry: Evaluating the Safety of Flood-affected Food Crops for Human Consumption</w:t>
        </w:r>
      </w:hyperlink>
      <w:r w:rsidRPr="00E060F0">
        <w:rPr>
          <w:sz w:val="24"/>
          <w:szCs w:val="24"/>
        </w:rPr>
        <w:t xml:space="preserve">. </w:t>
      </w:r>
    </w:p>
    <w:p w14:paraId="41C67E6C" w14:textId="77E78584" w:rsidR="00E060F0" w:rsidRPr="00E060F0" w:rsidRDefault="00975724" w:rsidP="00E060F0">
      <w:pPr>
        <w:pStyle w:val="ListParagraph"/>
        <w:numPr>
          <w:ilvl w:val="0"/>
          <w:numId w:val="9"/>
        </w:numPr>
        <w:autoSpaceDE w:val="0"/>
        <w:autoSpaceDN w:val="0"/>
        <w:adjustRightInd w:val="0"/>
        <w:spacing w:after="0" w:line="240" w:lineRule="auto"/>
        <w:rPr>
          <w:sz w:val="24"/>
          <w:szCs w:val="24"/>
        </w:rPr>
      </w:pPr>
      <w:r w:rsidRPr="00E060F0">
        <w:rPr>
          <w:sz w:val="24"/>
          <w:szCs w:val="24"/>
        </w:rPr>
        <w:t xml:space="preserve">FDA </w:t>
      </w:r>
      <w:hyperlink r:id="rId12" w:history="1">
        <w:r w:rsidRPr="00E060F0">
          <w:rPr>
            <w:rStyle w:val="Hyperlink"/>
            <w:sz w:val="24"/>
            <w:szCs w:val="24"/>
          </w:rPr>
          <w:t>Safety of Food and Animal Food Crops Affected by Hurricanes, Flooding, and Power Outages</w:t>
        </w:r>
      </w:hyperlink>
      <w:r w:rsidRPr="00E060F0">
        <w:rPr>
          <w:sz w:val="24"/>
          <w:szCs w:val="24"/>
        </w:rPr>
        <w:t>.</w:t>
      </w:r>
    </w:p>
    <w:p w14:paraId="3D1D02E1" w14:textId="4E08C6FC" w:rsidR="00580978" w:rsidRPr="00E060F0" w:rsidRDefault="57C53630" w:rsidP="00E060F0">
      <w:pPr>
        <w:pStyle w:val="ListParagraph"/>
        <w:numPr>
          <w:ilvl w:val="0"/>
          <w:numId w:val="9"/>
        </w:numPr>
        <w:rPr>
          <w:sz w:val="24"/>
          <w:szCs w:val="24"/>
        </w:rPr>
      </w:pPr>
      <w:r w:rsidRPr="00E060F0">
        <w:rPr>
          <w:sz w:val="24"/>
          <w:szCs w:val="24"/>
        </w:rPr>
        <w:t xml:space="preserve">FDA </w:t>
      </w:r>
      <w:hyperlink r:id="rId13" w:history="1">
        <w:r w:rsidRPr="00E060F0">
          <w:rPr>
            <w:rStyle w:val="Hyperlink"/>
            <w:sz w:val="24"/>
            <w:szCs w:val="24"/>
          </w:rPr>
          <w:t>Resources for Human and Animal Food Producers Affected by Flooding</w:t>
        </w:r>
      </w:hyperlink>
      <w:r w:rsidRPr="00E060F0">
        <w:rPr>
          <w:sz w:val="24"/>
          <w:szCs w:val="24"/>
        </w:rPr>
        <w:t xml:space="preserve">. </w:t>
      </w:r>
    </w:p>
    <w:p w14:paraId="24D33C20" w14:textId="656A7BAB" w:rsidR="57C53630" w:rsidRPr="00E060F0" w:rsidRDefault="27E8671C" w:rsidP="00E060F0">
      <w:pPr>
        <w:pStyle w:val="ListParagraph"/>
        <w:numPr>
          <w:ilvl w:val="0"/>
          <w:numId w:val="9"/>
        </w:numPr>
        <w:rPr>
          <w:sz w:val="24"/>
          <w:szCs w:val="24"/>
        </w:rPr>
      </w:pPr>
      <w:r w:rsidRPr="27E8671C">
        <w:rPr>
          <w:sz w:val="24"/>
          <w:szCs w:val="24"/>
        </w:rPr>
        <w:t xml:space="preserve">FSMA PSR </w:t>
      </w:r>
      <w:hyperlink r:id="rId14">
        <w:r w:rsidRPr="27E8671C">
          <w:rPr>
            <w:rStyle w:val="Hyperlink"/>
            <w:sz w:val="24"/>
            <w:szCs w:val="24"/>
          </w:rPr>
          <w:t>Preamble Comments 183-184 and 190</w:t>
        </w:r>
      </w:hyperlink>
      <w:r w:rsidRPr="27E8671C">
        <w:rPr>
          <w:sz w:val="24"/>
          <w:szCs w:val="24"/>
        </w:rPr>
        <w:t>.</w:t>
      </w:r>
    </w:p>
    <w:p w14:paraId="26C796AA" w14:textId="008FE410" w:rsidR="57C53630" w:rsidRDefault="57C53630" w:rsidP="57C53630">
      <w:pPr>
        <w:rPr>
          <w:sz w:val="24"/>
          <w:szCs w:val="24"/>
        </w:rPr>
      </w:pPr>
    </w:p>
    <w:sectPr w:rsidR="57C53630" w:rsidSect="004A0558">
      <w:headerReference w:type="even" r:id="rId15"/>
      <w:headerReference w:type="default" r:id="rId16"/>
      <w:footerReference w:type="even" r:id="rId17"/>
      <w:footerReference w:type="default" r:id="rId18"/>
      <w:headerReference w:type="first" r:id="rId19"/>
      <w:footerReference w:type="first" r:id="rId20"/>
      <w:pgSz w:w="12240" w:h="15840"/>
      <w:pgMar w:top="1689"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A0FB" w14:textId="77777777" w:rsidR="004A0558" w:rsidRDefault="004A0558" w:rsidP="00616459">
      <w:pPr>
        <w:spacing w:after="0" w:line="240" w:lineRule="auto"/>
      </w:pPr>
      <w:r>
        <w:separator/>
      </w:r>
    </w:p>
  </w:endnote>
  <w:endnote w:type="continuationSeparator" w:id="0">
    <w:p w14:paraId="7B395077" w14:textId="77777777" w:rsidR="004A0558" w:rsidRDefault="004A0558" w:rsidP="0061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7CA3" w14:textId="77777777" w:rsidR="00291985" w:rsidRDefault="00291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7D84" w14:textId="56005DA9" w:rsidR="00E060F0" w:rsidRDefault="00E060F0" w:rsidP="00E060F0">
    <w:pPr>
      <w:pStyle w:val="Footer"/>
      <w:tabs>
        <w:tab w:val="clear" w:pos="4680"/>
        <w:tab w:val="clear" w:pos="9360"/>
        <w:tab w:val="left" w:pos="6456"/>
      </w:tabs>
    </w:pPr>
    <w:r w:rsidRPr="00585970">
      <w:rPr>
        <w:noProof/>
        <w:sz w:val="18"/>
      </w:rPr>
      <mc:AlternateContent>
        <mc:Choice Requires="wps">
          <w:drawing>
            <wp:anchor distT="0" distB="0" distL="114300" distR="114300" simplePos="0" relativeHeight="251678720" behindDoc="0" locked="0" layoutInCell="1" allowOverlap="1" wp14:anchorId="671601D8" wp14:editId="3AEF4095">
              <wp:simplePos x="0" y="0"/>
              <wp:positionH relativeFrom="margin">
                <wp:posOffset>-218440</wp:posOffset>
              </wp:positionH>
              <wp:positionV relativeFrom="paragraph">
                <wp:posOffset>0</wp:posOffset>
              </wp:positionV>
              <wp:extent cx="6380480" cy="206375"/>
              <wp:effectExtent l="0" t="0" r="0" b="0"/>
              <wp:wrapNone/>
              <wp:docPr id="765640599" name="Rectangle 765640599"/>
              <wp:cNvGraphicFramePr/>
              <a:graphic xmlns:a="http://schemas.openxmlformats.org/drawingml/2006/main">
                <a:graphicData uri="http://schemas.microsoft.com/office/word/2010/wordprocessingShape">
                  <wps:wsp>
                    <wps:cNvSpPr/>
                    <wps:spPr>
                      <a:xfrm>
                        <a:off x="0" y="0"/>
                        <a:ext cx="6380480" cy="206375"/>
                      </a:xfrm>
                      <a:prstGeom prst="rect">
                        <a:avLst/>
                      </a:prstGeom>
                      <a:solidFill>
                        <a:srgbClr val="006E51"/>
                      </a:solidFill>
                      <a:ln w="12700" cap="flat" cmpd="sng" algn="ctr">
                        <a:noFill/>
                        <a:prstDash val="solid"/>
                        <a:miter lim="800000"/>
                      </a:ln>
                      <a:effectLst/>
                    </wps:spPr>
                    <wps:txbx>
                      <w:txbxContent>
                        <w:p w14:paraId="7526482D" w14:textId="77777777" w:rsidR="00E060F0" w:rsidRPr="004649F0" w:rsidRDefault="00E060F0" w:rsidP="00E060F0">
                          <w:pPr>
                            <w:jc w:val="center"/>
                            <w:rPr>
                              <w:color w:val="FFFFFF" w:themeColor="background1"/>
                            </w:rPr>
                          </w:pPr>
                          <w:r w:rsidRPr="004649F0">
                            <w:rPr>
                              <w:color w:val="FFFFFF" w:themeColor="background1"/>
                            </w:rPr>
                            <w:t>© 2022 • Produce Safety Alliance • producesafetyalliance.cornell.edu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601D8" id="Rectangle 765640599" o:spid="_x0000_s1028" style="position:absolute;margin-left:-17.2pt;margin-top:0;width:502.4pt;height:16.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rz2YUAIAAJ0EAAAOAAAAZHJzL2Uyb0RvYy54bWysVE1v2zAMvQ/YfxB0X+2kaxoEdYqgXYcB&#13;&#10;RVugHXZWZCkWIIkapcTufv0o2Wm3bqdhOSikSPHj8dEXl4Oz7KAwGvANn53UnCkvoTV+1/CvTzcf&#13;&#10;lpzFJHwrLHjV8GcV+eX6/buLPqzUHDqwrUJGQXxc9aHhXUphVVVRdsqJeAJBeTJqQCcSqbirWhQ9&#13;&#10;RXe2mtf1ouoB24AgVYx0ez0a+brE11rJdK91VInZhlNtqZxYzm0+q/WFWO1QhM7IqQzxD1U4YTwl&#13;&#10;fQl1LZJgezR/hHJGIkTQ6USCq0BrI1XpgbqZ1W+6eexEUKUXAieGF5ji/wsr7w6P4QEJhj7EVSQx&#13;&#10;dzFodPmf6mNDAev5BSw1JCbpcnG6rD8uCVNJtnm9OD0/y2hWr68DxvRZgWNZaDjSMApG4nAb0+h6&#13;&#10;dMnJIljT3hhri4K77ZVFdhB5cPXi09lsiv6bm/WsJ9rNz+tciCACaSsSiS60DY9+x5mwO2KmTFhy&#13;&#10;e8gZytRz7msRuzFHCTvSwZlEnLTGNXxZ59+U2fpcmSqsmjp4BS1LadgOE5JbaJ8fkCGMjItB3hjK&#13;&#10;dytiehBIFKN6aW3SPR3aAjUBk8RZB/jjb/fZnyZPVs56oiw1+H0vUHFmv3jiROb3UcCjsD0Kfu+u&#13;&#10;gMCc0UIGWUR6gMkeRY3gvtE2bXIWMgkvKdcI3aRcpXF1aB+l2myKG/E4iHTrH4PMwTNEGdmn4ZvA&#13;&#10;MI0+EWnu4EhnsXrDgNE3v/Sw2SfQptAjQzriSLTKCu1AIdi0r3nJftWL1+tXZf0TAAD//wMAUEsD&#13;&#10;BBQABgAIAAAAIQC0LiyX4QAAAAwBAAAPAAAAZHJzL2Rvd25yZXYueG1sTI/NbsIwEITvlfoO1lbq&#13;&#10;DZyG9IcQB1VUSJXgAuUBnHibRLXXUexA+vZdTvSy0mh2Z+cr1pOz4oxD6DwpeJonIJBqbzpqFJy+&#13;&#10;trM3ECFqMtp6QgW/GGBd3t8VOjf+Qgc8H2MjOIRCrhW0Mfa5lKFu0ekw9z0Se99+cDqyHBppBn3h&#13;&#10;cGdlmiQv0umO+EOre9y0WP8cR6fA7bb73ViFw9K6bH9K3Wfc1JlSjw/Tx4rH+wpExCneLuDKwP2h&#13;&#10;5GKVH8kEYRXMFlnGqwoYi+3la8KyUrBIn0GWhfwPUf4BAAD//wMAUEsBAi0AFAAGAAgAAAAhALaD&#13;&#10;OJL+AAAA4QEAABMAAAAAAAAAAAAAAAAAAAAAAFtDb250ZW50X1R5cGVzXS54bWxQSwECLQAUAAYA&#13;&#10;CAAAACEAOP0h/9YAAACUAQAACwAAAAAAAAAAAAAAAAAvAQAAX3JlbHMvLnJlbHNQSwECLQAUAAYA&#13;&#10;CAAAACEAOq89mFACAACdBAAADgAAAAAAAAAAAAAAAAAuAgAAZHJzL2Uyb0RvYy54bWxQSwECLQAU&#13;&#10;AAYACAAAACEAtC4sl+EAAAAMAQAADwAAAAAAAAAAAAAAAACqBAAAZHJzL2Rvd25yZXYueG1sUEsF&#13;&#10;BgAAAAAEAAQA8wAAALgFAAAAAA==&#13;&#10;" fillcolor="#006e51" stroked="f" strokeweight="1pt">
              <v:textbox inset="0,0,0,0">
                <w:txbxContent>
                  <w:p w14:paraId="7526482D" w14:textId="77777777" w:rsidR="00E060F0" w:rsidRPr="004649F0" w:rsidRDefault="00E060F0" w:rsidP="00E060F0">
                    <w:pPr>
                      <w:jc w:val="center"/>
                      <w:rPr>
                        <w:color w:val="FFFFFF" w:themeColor="background1"/>
                      </w:rPr>
                    </w:pPr>
                    <w:r w:rsidRPr="004649F0">
                      <w:rPr>
                        <w:color w:val="FFFFFF" w:themeColor="background1"/>
                      </w:rPr>
                      <w:t>© 2022 • Produce Safety Alliance • producesafetyalliance.cornell.edu</w:t>
                    </w:r>
                  </w:p>
                </w:txbxContent>
              </v:textbox>
              <w10:wrap anchorx="margin"/>
            </v:rect>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3998" w14:textId="422D61CC" w:rsidR="000A7305" w:rsidRDefault="00E060F0">
    <w:pPr>
      <w:pStyle w:val="Footer"/>
    </w:pPr>
    <w:r>
      <w:rPr>
        <w:noProof/>
      </w:rPr>
      <mc:AlternateContent>
        <mc:Choice Requires="wps">
          <w:drawing>
            <wp:anchor distT="0" distB="0" distL="114300" distR="114300" simplePos="0" relativeHeight="251676672" behindDoc="1" locked="0" layoutInCell="1" allowOverlap="1" wp14:anchorId="620D9EAE" wp14:editId="56DAB467">
              <wp:simplePos x="0" y="0"/>
              <wp:positionH relativeFrom="column">
                <wp:posOffset>4531148</wp:posOffset>
              </wp:positionH>
              <wp:positionV relativeFrom="paragraph">
                <wp:posOffset>144780</wp:posOffset>
              </wp:positionV>
              <wp:extent cx="1714038" cy="227279"/>
              <wp:effectExtent l="0" t="0" r="0" b="0"/>
              <wp:wrapNone/>
              <wp:docPr id="263210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038" cy="227279"/>
                      </a:xfrm>
                      <a:prstGeom prst="rect">
                        <a:avLst/>
                      </a:prstGeom>
                      <a:noFill/>
                      <a:ln w="9525">
                        <a:noFill/>
                        <a:miter lim="800000"/>
                        <a:headEnd/>
                        <a:tailEnd/>
                      </a:ln>
                    </wps:spPr>
                    <wps:txbx>
                      <w:txbxContent>
                        <w:p w14:paraId="653E25DC" w14:textId="45B05A1A" w:rsidR="00E060F0" w:rsidRPr="00727B23" w:rsidRDefault="00E060F0" w:rsidP="00E060F0">
                          <w:pPr>
                            <w:jc w:val="right"/>
                            <w:rPr>
                              <w:sz w:val="18"/>
                              <w:szCs w:val="18"/>
                            </w:rPr>
                          </w:pPr>
                          <w:r w:rsidRPr="00727B23">
                            <w:rPr>
                              <w:sz w:val="18"/>
                              <w:szCs w:val="18"/>
                            </w:rPr>
                            <w:t xml:space="preserve">Version </w:t>
                          </w:r>
                          <w:r w:rsidR="004958C8">
                            <w:rPr>
                              <w:sz w:val="18"/>
                              <w:szCs w:val="18"/>
                            </w:rPr>
                            <w:t>3</w:t>
                          </w:r>
                          <w:r w:rsidRPr="00727B23">
                            <w:rPr>
                              <w:sz w:val="18"/>
                              <w:szCs w:val="18"/>
                            </w:rPr>
                            <w:t xml:space="preserve">, </w:t>
                          </w:r>
                          <w:r w:rsidR="004958C8">
                            <w:rPr>
                              <w:sz w:val="18"/>
                              <w:szCs w:val="18"/>
                            </w:rPr>
                            <w:t>February 1</w:t>
                          </w:r>
                          <w:r w:rsidRPr="00727B23">
                            <w:rPr>
                              <w:sz w:val="18"/>
                              <w:szCs w:val="18"/>
                            </w:rPr>
                            <w:t>, 202</w:t>
                          </w:r>
                          <w:r w:rsidR="004958C8">
                            <w:rPr>
                              <w:sz w:val="18"/>
                              <w:szCs w:val="18"/>
                            </w:rPr>
                            <w:t>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20D9EAE" id="_x0000_t202" coordsize="21600,21600" o:spt="202" path="m,l,21600r21600,l21600,xe">
              <v:stroke joinstyle="miter"/>
              <v:path gradientshapeok="t" o:connecttype="rect"/>
            </v:shapetype>
            <v:shape id="Text Box 2" o:spid="_x0000_s1029" type="#_x0000_t202" style="position:absolute;margin-left:356.8pt;margin-top:11.4pt;width:134.95pt;height:17.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NVE+gEAANQDAAAOAAAAZHJzL2Uyb0RvYy54bWysU9uO2yAQfa/Uf0C8N740aTZWnNV2t1tV&#13;&#10;2l6kbT8AYxyjAkOBxE6/fgfszUbtW1U/IMYDZ+acOWyvR63IUTgvwdS0WOSUCMOhlWZf0x/f799c&#13;&#10;UeIDMy1TYERNT8LT693rV9vBVqKEHlQrHEEQ46vB1rQPwVZZ5nkvNPMLsMJgsgOnWcDQ7bPWsQHR&#13;&#10;tcrKPH+XDeBa64AL7/Hv3ZSku4TfdYKHr13nRSCqpthbSKtLaxPXbLdl1d4x20s+t8H+oQvNpMGi&#13;&#10;Z6g7Fhg5OPkXlJbcgYcuLDjoDLpOcpE4IJsi/4PNY8+sSFxQHG/PMvn/B8u/HB/tN0fC+B5GHGAi&#13;&#10;4e0D8J+eGLjtmdmLG+dg6AVrsXARJcsG66v5apTaVz6CNMNnaHHI7BAgAY2d01EV5EkQHQdwOosu&#13;&#10;xkB4LLkulvlbtAnHXFmuy/UmlWDV823rfPgoQJO4qanDoSZ0dnzwIXbDqucjsZiBe6lUGqwyZKjp&#13;&#10;ZlWu0oWLjJYBfaekrulVHr/JCZHkB9Omy4FJNe2xgDIz60h0ohzGZiSynSWJIjTQnlAGB5PN8Fng&#13;&#10;pgf3m5IBLVZT/+vAnKBEfTIo5aZYLqMnU7BcrUsM3GWmucwwwxGqpoGSaXsbko8nyjcoeSeTGi+d&#13;&#10;zC2jdZJIs82jNy/jdOrlMe6eAAAA//8DAFBLAwQUAAYACAAAACEAKne7WuMAAAAOAQAADwAAAGRy&#13;&#10;cy9kb3ducmV2LnhtbEyPzU7DMBCE70i8g7VI3KjdlIQ0zaZCVFxBlB+Jmxu7SUS8jmK3CW/PcoLL&#13;&#10;SqudmZ2v3M6uF2c7hs4TwnKhQFiqvemoQXh7fbzJQYSoyejek0X4tgG21eVFqQvjJ3qx531sBIdQ&#13;&#10;KDRCG+NQSBnq1jodFn6wxLejH52OvI6NNKOeONz1MlEqk053xB9aPdiH1tZf+5NDeH86fn7cqudm&#13;&#10;59Jh8rOS5NYS8fpq3m143G9ARDvHPwf8MnB/qLjYwZ/IBNEj3C1XGUsRkoQ5WLDOVymIA0KaZyCr&#13;&#10;Uv7HqH4AAAD//wMAUEsBAi0AFAAGAAgAAAAhALaDOJL+AAAA4QEAABMAAAAAAAAAAAAAAAAAAAAA&#13;&#10;AFtDb250ZW50X1R5cGVzXS54bWxQSwECLQAUAAYACAAAACEAOP0h/9YAAACUAQAACwAAAAAAAAAA&#13;&#10;AAAAAAAvAQAAX3JlbHMvLnJlbHNQSwECLQAUAAYACAAAACEAK4TVRPoBAADUAwAADgAAAAAAAAAA&#13;&#10;AAAAAAAuAgAAZHJzL2Uyb0RvYy54bWxQSwECLQAUAAYACAAAACEAKne7WuMAAAAOAQAADwAAAAAA&#13;&#10;AAAAAAAAAABUBAAAZHJzL2Rvd25yZXYueG1sUEsFBgAAAAAEAAQA8wAAAGQFAAAAAA==&#13;&#10;" filled="f" stroked="f">
              <v:textbox>
                <w:txbxContent>
                  <w:p w14:paraId="653E25DC" w14:textId="45B05A1A" w:rsidR="00E060F0" w:rsidRPr="00727B23" w:rsidRDefault="00E060F0" w:rsidP="00E060F0">
                    <w:pPr>
                      <w:jc w:val="right"/>
                      <w:rPr>
                        <w:sz w:val="18"/>
                        <w:szCs w:val="18"/>
                      </w:rPr>
                    </w:pPr>
                    <w:r w:rsidRPr="00727B23">
                      <w:rPr>
                        <w:sz w:val="18"/>
                        <w:szCs w:val="18"/>
                      </w:rPr>
                      <w:t xml:space="preserve">Version </w:t>
                    </w:r>
                    <w:r w:rsidR="004958C8">
                      <w:rPr>
                        <w:sz w:val="18"/>
                        <w:szCs w:val="18"/>
                      </w:rPr>
                      <w:t>3</w:t>
                    </w:r>
                    <w:r w:rsidRPr="00727B23">
                      <w:rPr>
                        <w:sz w:val="18"/>
                        <w:szCs w:val="18"/>
                      </w:rPr>
                      <w:t xml:space="preserve">, </w:t>
                    </w:r>
                    <w:r w:rsidR="004958C8">
                      <w:rPr>
                        <w:sz w:val="18"/>
                        <w:szCs w:val="18"/>
                      </w:rPr>
                      <w:t>February 1</w:t>
                    </w:r>
                    <w:r w:rsidRPr="00727B23">
                      <w:rPr>
                        <w:sz w:val="18"/>
                        <w:szCs w:val="18"/>
                      </w:rPr>
                      <w:t>, 202</w:t>
                    </w:r>
                    <w:r w:rsidR="004958C8">
                      <w:rPr>
                        <w:sz w:val="18"/>
                        <w:szCs w:val="18"/>
                      </w:rPr>
                      <w:t>4</w:t>
                    </w:r>
                  </w:p>
                </w:txbxContent>
              </v:textbox>
            </v:shape>
          </w:pict>
        </mc:Fallback>
      </mc:AlternateContent>
    </w:r>
    <w:r w:rsidR="000A7305" w:rsidRPr="00585970">
      <w:rPr>
        <w:noProof/>
        <w:sz w:val="18"/>
      </w:rPr>
      <mc:AlternateContent>
        <mc:Choice Requires="wps">
          <w:drawing>
            <wp:anchor distT="0" distB="0" distL="114300" distR="114300" simplePos="0" relativeHeight="251672576" behindDoc="0" locked="0" layoutInCell="1" allowOverlap="1" wp14:anchorId="17F67395" wp14:editId="48FD482C">
              <wp:simplePos x="0" y="0"/>
              <wp:positionH relativeFrom="margin">
                <wp:posOffset>-218440</wp:posOffset>
              </wp:positionH>
              <wp:positionV relativeFrom="paragraph">
                <wp:posOffset>0</wp:posOffset>
              </wp:positionV>
              <wp:extent cx="6380480" cy="206375"/>
              <wp:effectExtent l="0" t="0" r="0" b="0"/>
              <wp:wrapNone/>
              <wp:docPr id="851233501" name="Rectangle 851233501"/>
              <wp:cNvGraphicFramePr/>
              <a:graphic xmlns:a="http://schemas.openxmlformats.org/drawingml/2006/main">
                <a:graphicData uri="http://schemas.microsoft.com/office/word/2010/wordprocessingShape">
                  <wps:wsp>
                    <wps:cNvSpPr/>
                    <wps:spPr>
                      <a:xfrm>
                        <a:off x="0" y="0"/>
                        <a:ext cx="6380480" cy="206375"/>
                      </a:xfrm>
                      <a:prstGeom prst="rect">
                        <a:avLst/>
                      </a:prstGeom>
                      <a:solidFill>
                        <a:srgbClr val="006E51"/>
                      </a:solidFill>
                      <a:ln w="12700" cap="flat" cmpd="sng" algn="ctr">
                        <a:noFill/>
                        <a:prstDash val="solid"/>
                        <a:miter lim="800000"/>
                      </a:ln>
                      <a:effectLst/>
                    </wps:spPr>
                    <wps:txbx>
                      <w:txbxContent>
                        <w:p w14:paraId="45F6AB26" w14:textId="77777777" w:rsidR="000A7305" w:rsidRPr="004649F0" w:rsidRDefault="000A7305" w:rsidP="00D34FA9">
                          <w:pPr>
                            <w:jc w:val="center"/>
                            <w:rPr>
                              <w:color w:val="FFFFFF" w:themeColor="background1"/>
                            </w:rPr>
                          </w:pPr>
                          <w:r w:rsidRPr="004649F0">
                            <w:rPr>
                              <w:color w:val="FFFFFF" w:themeColor="background1"/>
                            </w:rPr>
                            <w:t>© 2022 • Produce Safety Alliance • producesafetyalliance.cornell.edu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67395" id="Rectangle 851233501" o:spid="_x0000_s1030" style="position:absolute;margin-left:-17.2pt;margin-top:0;width:502.4pt;height:16.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iaoVAIAAKQEAAAOAAAAZHJzL2Uyb0RvYy54bWysVMFu2zAMvQ/YPwi6r3bSNQ2COkWQrMOA&#13;&#10;oi3QDj0rshwLkESNUmJ3Xz9Kdpqu22lYDgopUXzk06Ovrntr2EFh0OAqPjkrOVNOQq3druLfn24+&#13;&#10;zTkLUbhaGHCq4i8q8Ovlxw9XnV+oKbRgaoWMkriw6HzF2xj9oiiCbJUV4Qy8cnTYAFoRycVdUaPo&#13;&#10;KLs1xbQsZ0UHWHsEqUKg3c1wyJc5f9MoGe+bJqjITMWptphXzOs2rcXySix2KHyr5ViG+IcqrNCO&#13;&#10;QF9TbUQUbI/6j1RWS4QATTyTYAtoGi1V7oG6mZTvunlshVe5FyIn+Feawv9LK+8Oj/4BiYbOh0Ug&#13;&#10;M3XRN2jTP9XH+kzWyytZqo9M0ubsfF5+nhOnks6m5ez88iKxWZxuewzxqwLLklFxpMfIHInDbYhD&#13;&#10;6DEkgQUwur7RxmQHd9u1QXYQ6eHK2ZeLyZj9tzDjWEeym16WqRBBAmqMiGRaX1c8uB1nwuxImTJi&#13;&#10;xnaQEPKrJ+yNCO2AkdMOcrA6kiaNthWfl+k3IhuXKlNZVWMHJ9KSFfttzzQBT9ONtLOF+uUBGcIg&#13;&#10;vODljSbYWxHig0BSGpVN0xPvaWkMUC8wWpy1gD//tp/iSQB0yllHyqU+f+wFKs7MN0fSSDI/Gng0&#13;&#10;tkfD7e0aiNMJzaWX2aQLGM3RbBDsMw3VKqHQkXCSsAYGR2cdhwmisZRqtcphJGcv4q179DIlT0wl&#13;&#10;gp/6Z4F+VEAk7dzBUdVi8U4IQ2y66WC1j9DorJITj6Su5NAoZJ2NY5tm7a2fo04fl+UvAAAA//8D&#13;&#10;AFBLAwQUAAYACAAAACEAtC4sl+EAAAAMAQAADwAAAGRycy9kb3ducmV2LnhtbEyPzW7CMBCE75X6&#13;&#10;DtZW6g2chvSHEAdVVEiV4ALlAZx4m0S111HsQPr2XU70stJodmfnK9aTs+KMQ+g8KXiaJyCQam86&#13;&#10;ahScvrazNxAhajLaekIFvxhgXd7fFTo3/kIHPB9jIziEQq4VtDH2uZShbtHpMPc9EnvffnA6shwa&#13;&#10;aQZ94XBnZZokL9LpjvhDq3vctFj/HEenwO22+91YhcPSumx/St1n3NSZUo8P08eKx/sKRMQp3i7g&#13;&#10;ysD9oeRilR/JBGEVzBZZxqsKGIvt5WvCslKwSJ9BloX8D1H+AQAA//8DAFBLAQItABQABgAIAAAA&#13;&#10;IQC2gziS/gAAAOEBAAATAAAAAAAAAAAAAAAAAAAAAABbQ29udGVudF9UeXBlc10ueG1sUEsBAi0A&#13;&#10;FAAGAAgAAAAhADj9If/WAAAAlAEAAAsAAAAAAAAAAAAAAAAALwEAAF9yZWxzLy5yZWxzUEsBAi0A&#13;&#10;FAAGAAgAAAAhAA9mJqhUAgAApAQAAA4AAAAAAAAAAAAAAAAALgIAAGRycy9lMm9Eb2MueG1sUEsB&#13;&#10;Ai0AFAAGAAgAAAAhALQuLJfhAAAADAEAAA8AAAAAAAAAAAAAAAAArgQAAGRycy9kb3ducmV2Lnht&#13;&#10;bFBLBQYAAAAABAAEAPMAAAC8BQAAAAA=&#13;&#10;" fillcolor="#006e51" stroked="f" strokeweight="1pt">
              <v:textbox inset="0,0,0,0">
                <w:txbxContent>
                  <w:p w14:paraId="45F6AB26" w14:textId="77777777" w:rsidR="000A7305" w:rsidRPr="004649F0" w:rsidRDefault="000A7305" w:rsidP="00D34FA9">
                    <w:pPr>
                      <w:jc w:val="center"/>
                      <w:rPr>
                        <w:color w:val="FFFFFF" w:themeColor="background1"/>
                      </w:rPr>
                    </w:pPr>
                    <w:r w:rsidRPr="004649F0">
                      <w:rPr>
                        <w:color w:val="FFFFFF" w:themeColor="background1"/>
                      </w:rPr>
                      <w:t>© 2022 • Produce Safety Alliance • producesafetyalliance.cornell.edu</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1DEB" w14:textId="77777777" w:rsidR="004A0558" w:rsidRDefault="004A0558" w:rsidP="00616459">
      <w:pPr>
        <w:spacing w:after="0" w:line="240" w:lineRule="auto"/>
      </w:pPr>
      <w:r>
        <w:separator/>
      </w:r>
    </w:p>
  </w:footnote>
  <w:footnote w:type="continuationSeparator" w:id="0">
    <w:p w14:paraId="7D7C8FA5" w14:textId="77777777" w:rsidR="004A0558" w:rsidRDefault="004A0558" w:rsidP="00616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861D" w14:textId="77777777" w:rsidR="00291985" w:rsidRDefault="00291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0E4D" w14:textId="77777777" w:rsidR="00EE742C" w:rsidRDefault="00EE742C" w:rsidP="00EE742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AC27" w14:textId="5615F731" w:rsidR="00D34FA9" w:rsidRDefault="00EE742C">
    <w:pPr>
      <w:pStyle w:val="Header"/>
    </w:pPr>
    <w:r>
      <w:rPr>
        <w:noProof/>
      </w:rPr>
      <w:drawing>
        <wp:anchor distT="0" distB="0" distL="114300" distR="114300" simplePos="0" relativeHeight="251674624" behindDoc="0" locked="0" layoutInCell="1" allowOverlap="1" wp14:anchorId="23B8EFCA" wp14:editId="16D041BE">
          <wp:simplePos x="0" y="0"/>
          <wp:positionH relativeFrom="page">
            <wp:posOffset>2464435</wp:posOffset>
          </wp:positionH>
          <wp:positionV relativeFrom="paragraph">
            <wp:posOffset>160655</wp:posOffset>
          </wp:positionV>
          <wp:extent cx="2843784" cy="566928"/>
          <wp:effectExtent l="0" t="0" r="1270" b="5080"/>
          <wp:wrapSquare wrapText="bothSides"/>
          <wp:docPr id="1958277271" name="Picture 195827727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3784" cy="5669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C2A58"/>
    <w:multiLevelType w:val="hybridMultilevel"/>
    <w:tmpl w:val="6FE8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37EB3"/>
    <w:multiLevelType w:val="hybridMultilevel"/>
    <w:tmpl w:val="E5EE8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96DB3"/>
    <w:multiLevelType w:val="hybridMultilevel"/>
    <w:tmpl w:val="44165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10DE9"/>
    <w:multiLevelType w:val="hybridMultilevel"/>
    <w:tmpl w:val="A1140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97C14"/>
    <w:multiLevelType w:val="hybridMultilevel"/>
    <w:tmpl w:val="BA52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6608D"/>
    <w:multiLevelType w:val="hybridMultilevel"/>
    <w:tmpl w:val="43489A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80327"/>
    <w:multiLevelType w:val="hybridMultilevel"/>
    <w:tmpl w:val="5AB4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41525"/>
    <w:multiLevelType w:val="hybridMultilevel"/>
    <w:tmpl w:val="EF7045F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758583">
    <w:abstractNumId w:val="0"/>
  </w:num>
  <w:num w:numId="2" w16cid:durableId="1743873003">
    <w:abstractNumId w:val="2"/>
  </w:num>
  <w:num w:numId="3" w16cid:durableId="1093015426">
    <w:abstractNumId w:val="3"/>
  </w:num>
  <w:num w:numId="4" w16cid:durableId="1992904796">
    <w:abstractNumId w:val="5"/>
  </w:num>
  <w:num w:numId="5" w16cid:durableId="781068960">
    <w:abstractNumId w:val="1"/>
  </w:num>
  <w:num w:numId="6" w16cid:durableId="739983979">
    <w:abstractNumId w:val="4"/>
  </w:num>
  <w:num w:numId="7" w16cid:durableId="2124570913">
    <w:abstractNumId w:val="7"/>
  </w:num>
  <w:num w:numId="8" w16cid:durableId="563025267">
    <w:abstractNumId w:val="0"/>
  </w:num>
  <w:num w:numId="9" w16cid:durableId="526795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C1"/>
    <w:rsid w:val="000A3508"/>
    <w:rsid w:val="000A7305"/>
    <w:rsid w:val="000D247A"/>
    <w:rsid w:val="000F6D1B"/>
    <w:rsid w:val="001122CD"/>
    <w:rsid w:val="0015612A"/>
    <w:rsid w:val="001B5B25"/>
    <w:rsid w:val="001B629A"/>
    <w:rsid w:val="00206275"/>
    <w:rsid w:val="00226772"/>
    <w:rsid w:val="002565AC"/>
    <w:rsid w:val="00291985"/>
    <w:rsid w:val="002B4D12"/>
    <w:rsid w:val="00337610"/>
    <w:rsid w:val="003C3B0D"/>
    <w:rsid w:val="0041049F"/>
    <w:rsid w:val="0047365B"/>
    <w:rsid w:val="004958C8"/>
    <w:rsid w:val="004A0558"/>
    <w:rsid w:val="004B72E5"/>
    <w:rsid w:val="004D540F"/>
    <w:rsid w:val="004E1B06"/>
    <w:rsid w:val="004E406A"/>
    <w:rsid w:val="00557036"/>
    <w:rsid w:val="00580978"/>
    <w:rsid w:val="00593827"/>
    <w:rsid w:val="005E5156"/>
    <w:rsid w:val="0061327C"/>
    <w:rsid w:val="00616459"/>
    <w:rsid w:val="00643D03"/>
    <w:rsid w:val="00664941"/>
    <w:rsid w:val="006926AD"/>
    <w:rsid w:val="006D1194"/>
    <w:rsid w:val="00730C71"/>
    <w:rsid w:val="00751C67"/>
    <w:rsid w:val="007612E7"/>
    <w:rsid w:val="00763F40"/>
    <w:rsid w:val="007905C1"/>
    <w:rsid w:val="007D1C23"/>
    <w:rsid w:val="007D29F9"/>
    <w:rsid w:val="00800950"/>
    <w:rsid w:val="008931E7"/>
    <w:rsid w:val="008B07E7"/>
    <w:rsid w:val="008D3BA9"/>
    <w:rsid w:val="008E4018"/>
    <w:rsid w:val="00924CA7"/>
    <w:rsid w:val="00975724"/>
    <w:rsid w:val="00982C99"/>
    <w:rsid w:val="009B2344"/>
    <w:rsid w:val="009C176A"/>
    <w:rsid w:val="009F1064"/>
    <w:rsid w:val="00A1788B"/>
    <w:rsid w:val="00A36F3F"/>
    <w:rsid w:val="00A42135"/>
    <w:rsid w:val="00B002BD"/>
    <w:rsid w:val="00B10268"/>
    <w:rsid w:val="00B5021F"/>
    <w:rsid w:val="00B86E5C"/>
    <w:rsid w:val="00B92219"/>
    <w:rsid w:val="00B96899"/>
    <w:rsid w:val="00BF087A"/>
    <w:rsid w:val="00C50ADE"/>
    <w:rsid w:val="00C64579"/>
    <w:rsid w:val="00C64BDF"/>
    <w:rsid w:val="00CA663E"/>
    <w:rsid w:val="00D34FA9"/>
    <w:rsid w:val="00D749F6"/>
    <w:rsid w:val="00D76492"/>
    <w:rsid w:val="00D8124E"/>
    <w:rsid w:val="00DA0DC0"/>
    <w:rsid w:val="00DA7679"/>
    <w:rsid w:val="00E060F0"/>
    <w:rsid w:val="00E56733"/>
    <w:rsid w:val="00E84F9E"/>
    <w:rsid w:val="00EE742C"/>
    <w:rsid w:val="00F21DB9"/>
    <w:rsid w:val="00F37562"/>
    <w:rsid w:val="00F409AE"/>
    <w:rsid w:val="00F8097F"/>
    <w:rsid w:val="00FA37A3"/>
    <w:rsid w:val="00FF6B1D"/>
    <w:rsid w:val="27E8671C"/>
    <w:rsid w:val="46E02235"/>
    <w:rsid w:val="4F08A286"/>
    <w:rsid w:val="57C53630"/>
    <w:rsid w:val="57DD0F71"/>
    <w:rsid w:val="61CF6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13AB6"/>
  <w15:chartTrackingRefBased/>
  <w15:docId w15:val="{36A0809E-6CC8-421D-90F7-2585A25B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C67"/>
    <w:pPr>
      <w:ind w:left="720"/>
      <w:contextualSpacing/>
    </w:pPr>
  </w:style>
  <w:style w:type="character" w:styleId="Hyperlink">
    <w:name w:val="Hyperlink"/>
    <w:basedOn w:val="DefaultParagraphFont"/>
    <w:uiPriority w:val="99"/>
    <w:unhideWhenUsed/>
    <w:rsid w:val="005E5156"/>
    <w:rPr>
      <w:color w:val="0563C1" w:themeColor="hyperlink"/>
      <w:u w:val="single"/>
    </w:rPr>
  </w:style>
  <w:style w:type="character" w:customStyle="1" w:styleId="UnresolvedMention1">
    <w:name w:val="Unresolved Mention1"/>
    <w:basedOn w:val="DefaultParagraphFont"/>
    <w:uiPriority w:val="99"/>
    <w:semiHidden/>
    <w:unhideWhenUsed/>
    <w:rsid w:val="005E5156"/>
    <w:rPr>
      <w:color w:val="605E5C"/>
      <w:shd w:val="clear" w:color="auto" w:fill="E1DFDD"/>
    </w:rPr>
  </w:style>
  <w:style w:type="paragraph" w:styleId="Header">
    <w:name w:val="header"/>
    <w:basedOn w:val="Normal"/>
    <w:link w:val="HeaderChar"/>
    <w:uiPriority w:val="99"/>
    <w:unhideWhenUsed/>
    <w:rsid w:val="00616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459"/>
  </w:style>
  <w:style w:type="paragraph" w:styleId="Footer">
    <w:name w:val="footer"/>
    <w:basedOn w:val="Normal"/>
    <w:link w:val="FooterChar"/>
    <w:uiPriority w:val="99"/>
    <w:unhideWhenUsed/>
    <w:rsid w:val="00616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45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B4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D1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B4D12"/>
    <w:rPr>
      <w:b/>
      <w:bCs/>
    </w:rPr>
  </w:style>
  <w:style w:type="character" w:customStyle="1" w:styleId="CommentSubjectChar">
    <w:name w:val="Comment Subject Char"/>
    <w:basedOn w:val="CommentTextChar"/>
    <w:link w:val="CommentSubject"/>
    <w:uiPriority w:val="99"/>
    <w:semiHidden/>
    <w:rsid w:val="002B4D12"/>
    <w:rPr>
      <w:b/>
      <w:bCs/>
      <w:sz w:val="20"/>
      <w:szCs w:val="20"/>
    </w:rPr>
  </w:style>
  <w:style w:type="paragraph" w:styleId="Revision">
    <w:name w:val="Revision"/>
    <w:hidden/>
    <w:uiPriority w:val="99"/>
    <w:semiHidden/>
    <w:rsid w:val="00C50ADE"/>
    <w:pPr>
      <w:spacing w:after="0" w:line="240" w:lineRule="auto"/>
    </w:pPr>
  </w:style>
  <w:style w:type="character" w:styleId="FollowedHyperlink">
    <w:name w:val="FollowedHyperlink"/>
    <w:basedOn w:val="DefaultParagraphFont"/>
    <w:uiPriority w:val="99"/>
    <w:semiHidden/>
    <w:unhideWhenUsed/>
    <w:rsid w:val="00975724"/>
    <w:rPr>
      <w:color w:val="954F72" w:themeColor="followedHyperlink"/>
      <w:u w:val="single"/>
    </w:rPr>
  </w:style>
  <w:style w:type="character" w:styleId="UnresolvedMention">
    <w:name w:val="Unresolved Mention"/>
    <w:basedOn w:val="DefaultParagraphFont"/>
    <w:uiPriority w:val="99"/>
    <w:semiHidden/>
    <w:unhideWhenUsed/>
    <w:rsid w:val="00EE7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52664">
      <w:bodyDiv w:val="1"/>
      <w:marLeft w:val="0"/>
      <w:marRight w:val="0"/>
      <w:marTop w:val="0"/>
      <w:marBottom w:val="0"/>
      <w:divBdr>
        <w:top w:val="none" w:sz="0" w:space="0" w:color="auto"/>
        <w:left w:val="none" w:sz="0" w:space="0" w:color="auto"/>
        <w:bottom w:val="none" w:sz="0" w:space="0" w:color="auto"/>
        <w:right w:val="none" w:sz="0" w:space="0" w:color="auto"/>
      </w:divBdr>
    </w:div>
    <w:div w:id="21220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21/321" TargetMode="External"/><Relationship Id="rId13" Type="http://schemas.openxmlformats.org/officeDocument/2006/relationships/hyperlink" Target="https://www.fda.gov/about-fda/office-human-and-animal-food-operations/resources-human-and-animal-food-producers-affected-floodin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da.gov/food/food-safety-during-emergencies/safety-food-and-animal-food-crops-affected-hurricanes-flooding-and-power-outag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regulatory-information/search-fda-guidance-documents/guidance-industry-evaluating-safety-flood-affected-food-crops-human-consumpt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aw.cornell.edu/uscode/text/21/34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aw.cornell.edu/uscode/text/21/331" TargetMode="External"/><Relationship Id="rId14" Type="http://schemas.openxmlformats.org/officeDocument/2006/relationships/hyperlink" Target="https://www.govinfo.gov/content/pkg/FR-2015-11-27/pdf/2015-28159.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Jean George</dc:creator>
  <cp:keywords/>
  <dc:description/>
  <cp:lastModifiedBy>Rob Way</cp:lastModifiedBy>
  <cp:revision>36</cp:revision>
  <dcterms:created xsi:type="dcterms:W3CDTF">2022-07-22T19:37:00Z</dcterms:created>
  <dcterms:modified xsi:type="dcterms:W3CDTF">2024-02-14T16:59:00Z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7494c3e28d4fa93c846a256b9554524c1b32eeeced19ca445f09f40648f716c3</vt:lpwstr>
  </property>
</Properties>
</file>